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C1140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C1140">
        <w:rPr>
          <w:rFonts w:ascii="Times New Roman" w:hAnsi="Times New Roman"/>
          <w:noProof/>
        </w:rPr>
        <w:t>408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C1140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C1140">
        <w:rPr>
          <w:b/>
          <w:i/>
          <w:color w:val="000000"/>
          <w:sz w:val="22"/>
          <w:szCs w:val="22"/>
        </w:rPr>
        <w:t>Реконструкция ВЛИ-0,38 кВ (с заменой вводов - 14 шт.) от МТП-174  ПС Сельниково № 616, МО, г. Коломна, д. Молодинки, з/у 54-А, 50:34:0010904:758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C1140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C1140">
        <w:rPr>
          <w:rFonts w:ascii="Times New Roman" w:hAnsi="Times New Roman" w:cs="Times New Roman"/>
          <w:b/>
          <w:snapToGrid w:val="0"/>
        </w:rPr>
        <w:t>Реконструкция ВЛИ-0,38 кВ (с заменой вводов - 14 шт.) от МТП-174  ПС Сельниково № 616, МО, г. Коломна, д. Молодинки, з/у 54-А, 50:34:0010904:758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C1140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C1140">
        <w:rPr>
          <w:rFonts w:ascii="Times New Roman" w:hAnsi="Times New Roman" w:cs="Times New Roman"/>
          <w:b/>
        </w:rPr>
        <w:t>253464,089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C1140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C114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C1140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C1140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140" w:rsidRDefault="00FC1140" w:rsidP="0018059F">
      <w:pPr>
        <w:spacing w:after="0" w:line="240" w:lineRule="auto"/>
      </w:pPr>
      <w:r>
        <w:separator/>
      </w:r>
    </w:p>
  </w:endnote>
  <w:endnote w:type="continuationSeparator" w:id="0">
    <w:p w:rsidR="00FC1140" w:rsidRDefault="00FC114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C114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140" w:rsidRDefault="00FC1140" w:rsidP="0018059F">
      <w:pPr>
        <w:spacing w:after="0" w:line="240" w:lineRule="auto"/>
      </w:pPr>
      <w:r>
        <w:separator/>
      </w:r>
    </w:p>
  </w:footnote>
  <w:footnote w:type="continuationSeparator" w:id="0">
    <w:p w:rsidR="00FC1140" w:rsidRDefault="00FC114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C1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C1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